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BC84" w14:textId="77777777" w:rsidR="00716ED7" w:rsidRDefault="00716ED7" w:rsidP="00FC624A">
      <w:pPr>
        <w:pStyle w:val="Perex"/>
        <w:rPr>
          <w:rFonts w:asciiTheme="majorHAnsi" w:eastAsiaTheme="majorEastAsia" w:hAnsiTheme="majorHAnsi" w:cstheme="majorBidi"/>
          <w:i w:val="0"/>
          <w:color w:val="2F52A0" w:themeColor="accent1"/>
          <w:spacing w:val="0"/>
          <w:kern w:val="28"/>
          <w:sz w:val="36"/>
          <w:szCs w:val="56"/>
        </w:rPr>
      </w:pPr>
      <w:r w:rsidRPr="00716ED7">
        <w:rPr>
          <w:rFonts w:asciiTheme="majorHAnsi" w:eastAsiaTheme="majorEastAsia" w:hAnsiTheme="majorHAnsi" w:cstheme="majorBidi"/>
          <w:i w:val="0"/>
          <w:color w:val="2F52A0" w:themeColor="accent1"/>
          <w:spacing w:val="0"/>
          <w:kern w:val="28"/>
          <w:sz w:val="36"/>
          <w:szCs w:val="56"/>
        </w:rPr>
        <w:t xml:space="preserve">Jet </w:t>
      </w:r>
      <w:proofErr w:type="spellStart"/>
      <w:r w:rsidRPr="00716ED7">
        <w:rPr>
          <w:rFonts w:asciiTheme="majorHAnsi" w:eastAsiaTheme="majorEastAsia" w:hAnsiTheme="majorHAnsi" w:cstheme="majorBidi"/>
          <w:i w:val="0"/>
          <w:color w:val="2F52A0" w:themeColor="accent1"/>
          <w:spacing w:val="0"/>
          <w:kern w:val="28"/>
          <w:sz w:val="36"/>
          <w:szCs w:val="56"/>
        </w:rPr>
        <w:t>Investment</w:t>
      </w:r>
      <w:proofErr w:type="spellEnd"/>
      <w:r w:rsidRPr="00716ED7">
        <w:rPr>
          <w:rFonts w:asciiTheme="majorHAnsi" w:eastAsiaTheme="majorEastAsia" w:hAnsiTheme="majorHAnsi" w:cstheme="majorBidi"/>
          <w:i w:val="0"/>
          <w:color w:val="2F52A0" w:themeColor="accent1"/>
          <w:spacing w:val="0"/>
          <w:kern w:val="28"/>
          <w:sz w:val="36"/>
          <w:szCs w:val="56"/>
        </w:rPr>
        <w:t xml:space="preserve"> vede investici ve výši pěti milionů eur do International </w:t>
      </w:r>
      <w:proofErr w:type="spellStart"/>
      <w:r w:rsidRPr="00716ED7">
        <w:rPr>
          <w:rFonts w:asciiTheme="majorHAnsi" w:eastAsiaTheme="majorEastAsia" w:hAnsiTheme="majorHAnsi" w:cstheme="majorBidi"/>
          <w:i w:val="0"/>
          <w:color w:val="2F52A0" w:themeColor="accent1"/>
          <w:spacing w:val="0"/>
          <w:kern w:val="28"/>
          <w:sz w:val="36"/>
          <w:szCs w:val="56"/>
        </w:rPr>
        <w:t>Automotive</w:t>
      </w:r>
      <w:proofErr w:type="spellEnd"/>
      <w:r w:rsidRPr="00716ED7">
        <w:rPr>
          <w:rFonts w:asciiTheme="majorHAnsi" w:eastAsiaTheme="majorEastAsia" w:hAnsiTheme="majorHAnsi" w:cstheme="majorBidi"/>
          <w:i w:val="0"/>
          <w:color w:val="2F52A0" w:themeColor="accent1"/>
          <w:spacing w:val="0"/>
          <w:kern w:val="28"/>
          <w:sz w:val="36"/>
          <w:szCs w:val="56"/>
        </w:rPr>
        <w:t xml:space="preserve"> Group </w:t>
      </w:r>
    </w:p>
    <w:p w14:paraId="0BFB1047" w14:textId="4BECD4DF" w:rsidR="00FC624A" w:rsidRPr="0034386A" w:rsidRDefault="00FC624A" w:rsidP="0034386A">
      <w:pPr>
        <w:rPr>
          <w:b/>
          <w:bCs/>
          <w:sz w:val="22"/>
        </w:rPr>
      </w:pPr>
      <w:r w:rsidRPr="0034386A">
        <w:rPr>
          <w:sz w:val="22"/>
        </w:rPr>
        <w:t xml:space="preserve">(Brno, </w:t>
      </w:r>
      <w:r w:rsidR="001A3976">
        <w:rPr>
          <w:sz w:val="22"/>
        </w:rPr>
        <w:t>22</w:t>
      </w:r>
      <w:r w:rsidRPr="0034386A">
        <w:rPr>
          <w:sz w:val="22"/>
        </w:rPr>
        <w:t>. </w:t>
      </w:r>
      <w:r w:rsidR="00716ED7" w:rsidRPr="0034386A">
        <w:rPr>
          <w:sz w:val="22"/>
        </w:rPr>
        <w:t>května</w:t>
      </w:r>
      <w:r w:rsidRPr="0034386A">
        <w:rPr>
          <w:sz w:val="22"/>
        </w:rPr>
        <w:t>)</w:t>
      </w:r>
      <w:r w:rsidRPr="0034386A">
        <w:rPr>
          <w:b/>
          <w:bCs/>
          <w:sz w:val="22"/>
        </w:rPr>
        <w:t xml:space="preserve"> </w:t>
      </w:r>
      <w:r w:rsidR="00716ED7" w:rsidRPr="0034386A">
        <w:rPr>
          <w:b/>
          <w:bCs/>
          <w:sz w:val="22"/>
        </w:rPr>
        <w:t xml:space="preserve">Skupina Jet </w:t>
      </w:r>
      <w:proofErr w:type="spellStart"/>
      <w:r w:rsidR="00716ED7" w:rsidRPr="0034386A">
        <w:rPr>
          <w:b/>
          <w:bCs/>
          <w:sz w:val="22"/>
        </w:rPr>
        <w:t>Investment</w:t>
      </w:r>
      <w:proofErr w:type="spellEnd"/>
      <w:r w:rsidR="00716ED7" w:rsidRPr="0034386A">
        <w:rPr>
          <w:b/>
          <w:bCs/>
          <w:sz w:val="22"/>
        </w:rPr>
        <w:t xml:space="preserve"> se ujala role hlavního investora v investičním kole ve výši pěti milionů eur do společnosti International </w:t>
      </w:r>
      <w:proofErr w:type="spellStart"/>
      <w:r w:rsidR="00716ED7" w:rsidRPr="0034386A">
        <w:rPr>
          <w:b/>
          <w:bCs/>
          <w:sz w:val="22"/>
        </w:rPr>
        <w:t>Automotive</w:t>
      </w:r>
      <w:proofErr w:type="spellEnd"/>
      <w:r w:rsidR="00716ED7" w:rsidRPr="0034386A">
        <w:rPr>
          <w:b/>
          <w:bCs/>
          <w:sz w:val="22"/>
        </w:rPr>
        <w:t xml:space="preserve"> Group, která rozvíjí inovativní e-</w:t>
      </w:r>
      <w:proofErr w:type="spellStart"/>
      <w:r w:rsidR="00716ED7" w:rsidRPr="0034386A">
        <w:rPr>
          <w:b/>
          <w:bCs/>
          <w:sz w:val="22"/>
        </w:rPr>
        <w:t>commerce</w:t>
      </w:r>
      <w:proofErr w:type="spellEnd"/>
      <w:r w:rsidR="00716ED7" w:rsidRPr="0034386A">
        <w:rPr>
          <w:b/>
          <w:bCs/>
          <w:sz w:val="22"/>
        </w:rPr>
        <w:t xml:space="preserve"> platformu pro distribuci náhradních dílů v automobilovém průmyslu. Jet </w:t>
      </w:r>
      <w:proofErr w:type="spellStart"/>
      <w:r w:rsidR="00716ED7" w:rsidRPr="0034386A">
        <w:rPr>
          <w:b/>
          <w:bCs/>
          <w:sz w:val="22"/>
        </w:rPr>
        <w:t>Investment</w:t>
      </w:r>
      <w:proofErr w:type="spellEnd"/>
      <w:r w:rsidR="00716ED7" w:rsidRPr="0034386A">
        <w:rPr>
          <w:b/>
          <w:bCs/>
          <w:sz w:val="22"/>
        </w:rPr>
        <w:t xml:space="preserve"> z celkové částky poskytuje 2,4 milionu eur, dalšími spoluinvestory jsou Venture to </w:t>
      </w:r>
      <w:proofErr w:type="spellStart"/>
      <w:r w:rsidR="00716ED7" w:rsidRPr="0034386A">
        <w:rPr>
          <w:b/>
          <w:bCs/>
          <w:sz w:val="22"/>
        </w:rPr>
        <w:t>Future</w:t>
      </w:r>
      <w:proofErr w:type="spellEnd"/>
      <w:r w:rsidR="00716ED7" w:rsidRPr="0034386A">
        <w:rPr>
          <w:b/>
          <w:bCs/>
          <w:sz w:val="22"/>
        </w:rPr>
        <w:t xml:space="preserve"> </w:t>
      </w:r>
      <w:proofErr w:type="spellStart"/>
      <w:r w:rsidR="00716ED7" w:rsidRPr="0034386A">
        <w:rPr>
          <w:b/>
          <w:bCs/>
          <w:sz w:val="22"/>
        </w:rPr>
        <w:t>Fund</w:t>
      </w:r>
      <w:proofErr w:type="spellEnd"/>
      <w:r w:rsidR="00716ED7" w:rsidRPr="0034386A">
        <w:rPr>
          <w:b/>
          <w:bCs/>
          <w:sz w:val="22"/>
        </w:rPr>
        <w:t xml:space="preserve"> s částkou 1,6 milionu eur a zakládající investor Josef Koller, který přispěje jeden milion eur. Prostředky podpoří expanzi IAG na evropský trh s náhradními díly a servisními službami pro automobily, rozšíření e-katalogových služeb a zefektivnění logistických a fakturačních procesů.</w:t>
      </w:r>
    </w:p>
    <w:p w14:paraId="0BF86975" w14:textId="77777777" w:rsidR="00716ED7" w:rsidRDefault="00716ED7" w:rsidP="00716ED7">
      <w:r>
        <w:t xml:space="preserve">International </w:t>
      </w:r>
      <w:proofErr w:type="spellStart"/>
      <w:r>
        <w:t>Automotive</w:t>
      </w:r>
      <w:proofErr w:type="spellEnd"/>
      <w:r>
        <w:t xml:space="preserve"> Group (IAG) se zaměřuje na optimalizaci dodavatelského řetězce náhradních dílů pro autoservisy prostřednictvím specializované digitální platformy. Společnost v posledních letech zaznamenala mimořádnou dynamiku růstu – mezi lety 2022 a 2024 se její tržby zvýšily více než pětinásobně. K úspěchu přispívá i zkušený vedoucí tým složený z odborníků, kteří stáli za mezinárodní expanzí společnosti Inter </w:t>
      </w:r>
      <w:proofErr w:type="spellStart"/>
      <w:r>
        <w:t>Cars</w:t>
      </w:r>
      <w:proofErr w:type="spellEnd"/>
      <w:r>
        <w:t xml:space="preserve">. Díky němu se IAG podařilo rychle vybudovat silnou pozici v rostoucím segmentu evropského trhu s náhradními díly a servisními službami pro automobily (automobilový </w:t>
      </w:r>
      <w:proofErr w:type="spellStart"/>
      <w:r>
        <w:t>aftermarket</w:t>
      </w:r>
      <w:proofErr w:type="spellEnd"/>
      <w:r>
        <w:t>). Firma již aktivně působí v České republice, na Slovensku, v Polsku, v Maďarsku, v Lotyšsku a v Chorvatsku, kde buduje síť franšízových partnerů podporovaných z centrály.</w:t>
      </w:r>
    </w:p>
    <w:p w14:paraId="53F26DB7" w14:textId="7DDDDA55" w:rsidR="00716ED7" w:rsidRDefault="00716ED7" w:rsidP="00716ED7">
      <w:r>
        <w:t xml:space="preserve">Kamil Levinský, </w:t>
      </w:r>
      <w:r w:rsidR="00F83776">
        <w:t>výkonný ředitel</w:t>
      </w:r>
      <w:r>
        <w:t xml:space="preserve"> Jet </w:t>
      </w:r>
      <w:proofErr w:type="spellStart"/>
      <w:r>
        <w:t>Ventures</w:t>
      </w:r>
      <w:proofErr w:type="spellEnd"/>
      <w:r>
        <w:t xml:space="preserve">, uvedl: </w:t>
      </w:r>
      <w:r w:rsidRPr="00716ED7">
        <w:rPr>
          <w:i/>
          <w:iCs/>
        </w:rPr>
        <w:t>„Jsme nadšeni, že můžeme podpořit tým IAG a jeho inovativní strategii. Věříme, že jejich e-</w:t>
      </w:r>
      <w:proofErr w:type="spellStart"/>
      <w:r w:rsidRPr="00716ED7">
        <w:rPr>
          <w:i/>
          <w:iCs/>
        </w:rPr>
        <w:t>commerce</w:t>
      </w:r>
      <w:proofErr w:type="spellEnd"/>
      <w:r w:rsidRPr="00716ED7">
        <w:rPr>
          <w:i/>
          <w:iCs/>
        </w:rPr>
        <w:t xml:space="preserve"> platforma a důraz na efektivní distribuci jim umožní plně využít potenciál evropského trhu. Tato investice dokonale zapadá do naší strategie podpory rychle rostoucích B2B technologických společností se silným tržním potenciálem a produktem, který přesně odpovídá požadavkům zákazníků.“</w:t>
      </w:r>
    </w:p>
    <w:p w14:paraId="1667F8DF" w14:textId="0AF1864F" w:rsidR="00716ED7" w:rsidRDefault="00716ED7" w:rsidP="00716ED7">
      <w:r>
        <w:t xml:space="preserve">Matěj Říha, předseda správní rady fondu Venture to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, řekl: </w:t>
      </w:r>
      <w:r w:rsidRPr="00716ED7">
        <w:rPr>
          <w:i/>
          <w:iCs/>
        </w:rPr>
        <w:t xml:space="preserve">„Investice do IAG představuje přesně ten typ příležitosti, který náš fond vyhledává – inovativní společnost s potenciálem pro mezinárodní expanzi. Věříme, že jejich platforma má všechny předpoklady stát se významným hráčem na evropském trhu automobilového </w:t>
      </w:r>
      <w:proofErr w:type="spellStart"/>
      <w:r w:rsidRPr="00716ED7">
        <w:rPr>
          <w:i/>
          <w:iCs/>
        </w:rPr>
        <w:t>aftermarketu</w:t>
      </w:r>
      <w:proofErr w:type="spellEnd"/>
      <w:r w:rsidRPr="00716ED7">
        <w:rPr>
          <w:i/>
          <w:iCs/>
        </w:rPr>
        <w:t>.“</w:t>
      </w:r>
      <w:r w:rsidR="00784CFD">
        <w:rPr>
          <w:i/>
          <w:iCs/>
        </w:rPr>
        <w:t xml:space="preserve"> </w:t>
      </w:r>
    </w:p>
    <w:p w14:paraId="2DC3525D" w14:textId="77777777" w:rsidR="00716ED7" w:rsidRDefault="00716ED7" w:rsidP="00716ED7">
      <w:r>
        <w:t xml:space="preserve">Tomáš Kaštil, zakladatel IAG, dodal: </w:t>
      </w:r>
      <w:r w:rsidRPr="00716ED7">
        <w:rPr>
          <w:i/>
          <w:iCs/>
        </w:rPr>
        <w:t xml:space="preserve">„Investice vedená Jet </w:t>
      </w:r>
      <w:proofErr w:type="spellStart"/>
      <w:r w:rsidRPr="00716ED7">
        <w:rPr>
          <w:i/>
          <w:iCs/>
        </w:rPr>
        <w:t>Ventures</w:t>
      </w:r>
      <w:proofErr w:type="spellEnd"/>
      <w:r w:rsidRPr="00716ED7">
        <w:rPr>
          <w:i/>
          <w:iCs/>
        </w:rPr>
        <w:t xml:space="preserve"> představuje pro IAG významný milník. Jejich podpora bude klíčová pro další akceleraci růstu, rozšíření našeho dosahu a zlepšení nabídky pro naše B2B klienty v automobilovém </w:t>
      </w:r>
      <w:proofErr w:type="spellStart"/>
      <w:r w:rsidRPr="00716ED7">
        <w:rPr>
          <w:i/>
          <w:iCs/>
        </w:rPr>
        <w:t>aftermarketu</w:t>
      </w:r>
      <w:proofErr w:type="spellEnd"/>
      <w:r w:rsidRPr="00716ED7">
        <w:rPr>
          <w:i/>
          <w:iCs/>
        </w:rPr>
        <w:t>. Jsme přesvědčeni, že toto partnerství nám pomůže naplnit naše ambiciózní cíle.“</w:t>
      </w:r>
    </w:p>
    <w:p w14:paraId="2C348AB1" w14:textId="393B7AF9" w:rsidR="00FC624A" w:rsidRDefault="00716ED7" w:rsidP="000A7798">
      <w:r>
        <w:t xml:space="preserve">IAG je v pořadí již druhou investicí skupiny Jet </w:t>
      </w:r>
      <w:proofErr w:type="spellStart"/>
      <w:r>
        <w:t>Investment</w:t>
      </w:r>
      <w:proofErr w:type="spellEnd"/>
      <w:r>
        <w:t xml:space="preserve"> v oblasti venture kapitálu, kde již dříve podpořila start-up </w:t>
      </w:r>
      <w:proofErr w:type="spellStart"/>
      <w:r>
        <w:t>Partory</w:t>
      </w:r>
      <w:proofErr w:type="spellEnd"/>
      <w:r>
        <w:t xml:space="preserve">. Pro tyto investice Jet </w:t>
      </w:r>
      <w:proofErr w:type="spellStart"/>
      <w:r>
        <w:t>Investment</w:t>
      </w:r>
      <w:proofErr w:type="spellEnd"/>
      <w:r>
        <w:t xml:space="preserve"> založil v říjnu 2024 fond Jet Venture 1, který se zaměřuje na inovativní podniky s potenciálem změnit tradiční průmyslová odvětví pomocí moderních technologií.</w:t>
      </w:r>
    </w:p>
    <w:p w14:paraId="77D05132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9C86508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F75CB42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36D7D5E" w14:textId="77777777" w:rsidR="000A7798" w:rsidRDefault="000A7798" w:rsidP="000A779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8E12990" w14:textId="77777777" w:rsidR="0034386A" w:rsidRDefault="0034386A" w:rsidP="000A7798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BB09628" w14:textId="2DA0476F" w:rsidR="000A7798" w:rsidRPr="0034386A" w:rsidRDefault="000A7798" w:rsidP="000A7798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386A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Fond Jet Venture 1, SICAV</w:t>
      </w:r>
    </w:p>
    <w:p w14:paraId="307D5147" w14:textId="77777777" w:rsidR="000A7798" w:rsidRDefault="000A7798" w:rsidP="000A7798">
      <w:pPr>
        <w:spacing w:after="0"/>
      </w:pPr>
      <w:r>
        <w:t>•</w:t>
      </w:r>
      <w:r>
        <w:tab/>
        <w:t xml:space="preserve">Fond kvalifikovaných investorů </w:t>
      </w:r>
    </w:p>
    <w:p w14:paraId="52A3D4FA" w14:textId="77777777" w:rsidR="000A7798" w:rsidRDefault="000A7798" w:rsidP="000A7798">
      <w:pPr>
        <w:spacing w:after="0"/>
      </w:pPr>
      <w:r>
        <w:t>•</w:t>
      </w:r>
      <w:r>
        <w:tab/>
        <w:t xml:space="preserve">Regionální zaměření: CZ, SK, DE, AT, PL </w:t>
      </w:r>
    </w:p>
    <w:p w14:paraId="722E5FE5" w14:textId="77777777" w:rsidR="000A7798" w:rsidRDefault="000A7798" w:rsidP="000A7798">
      <w:pPr>
        <w:spacing w:after="0"/>
        <w:ind w:left="708" w:hanging="708"/>
      </w:pPr>
      <w:r>
        <w:t>•</w:t>
      </w:r>
      <w:r>
        <w:tab/>
        <w:t xml:space="preserve">Oborové zaměření: průmyslové B2B pokročilé výrobní systémy, </w:t>
      </w:r>
      <w:proofErr w:type="spellStart"/>
      <w:r>
        <w:t>deeptech</w:t>
      </w:r>
      <w:proofErr w:type="spellEnd"/>
      <w:r>
        <w:t>, internet věcí (</w:t>
      </w:r>
      <w:proofErr w:type="spellStart"/>
      <w:r>
        <w:t>IoT</w:t>
      </w:r>
      <w:proofErr w:type="spellEnd"/>
      <w:r>
        <w:t xml:space="preserve">), umělá inteligence a strojové učení (AI a ML), </w:t>
      </w:r>
      <w:proofErr w:type="spellStart"/>
      <w:r>
        <w:t>cybersecurity</w:t>
      </w:r>
      <w:proofErr w:type="spellEnd"/>
      <w:r>
        <w:t>, robotika a drony, 3D tisk a technologie pro dodavatelské řetězce.</w:t>
      </w:r>
    </w:p>
    <w:p w14:paraId="7821D5AA" w14:textId="77777777" w:rsidR="000A7798" w:rsidRDefault="000A7798" w:rsidP="000A7798">
      <w:pPr>
        <w:spacing w:after="0"/>
      </w:pPr>
      <w:r>
        <w:t>•</w:t>
      </w:r>
      <w:r>
        <w:tab/>
        <w:t>Plánovaný objem fondu: 50 mil. EUR</w:t>
      </w:r>
    </w:p>
    <w:p w14:paraId="450ED62A" w14:textId="77777777" w:rsidR="000A7798" w:rsidRDefault="000A7798" w:rsidP="000A7798">
      <w:pPr>
        <w:spacing w:after="0"/>
      </w:pPr>
      <w:r>
        <w:t>•</w:t>
      </w:r>
      <w:r>
        <w:tab/>
        <w:t>Plánované zhodnocení pro investory: 20 % p. a. net*</w:t>
      </w:r>
    </w:p>
    <w:p w14:paraId="653AE964" w14:textId="77777777" w:rsidR="000A7798" w:rsidRDefault="000A7798" w:rsidP="000A7798">
      <w:pPr>
        <w:spacing w:after="0"/>
      </w:pPr>
      <w:r>
        <w:t>•</w:t>
      </w:r>
      <w:r>
        <w:tab/>
        <w:t xml:space="preserve">Minimální investice: 5 mil. Kč, respektive 1 mil. Kč přes </w:t>
      </w:r>
      <w:proofErr w:type="spellStart"/>
      <w:r>
        <w:t>feeder</w:t>
      </w:r>
      <w:proofErr w:type="spellEnd"/>
      <w:r>
        <w:t xml:space="preserve"> fond </w:t>
      </w:r>
      <w:proofErr w:type="spellStart"/>
      <w:r>
        <w:t>Conseq</w:t>
      </w:r>
      <w:proofErr w:type="spellEnd"/>
    </w:p>
    <w:p w14:paraId="20187CE5" w14:textId="77777777" w:rsidR="000A7798" w:rsidRDefault="000A7798" w:rsidP="000A7798">
      <w:pPr>
        <w:spacing w:after="0"/>
      </w:pPr>
      <w:r>
        <w:t>•</w:t>
      </w:r>
      <w:r>
        <w:tab/>
        <w:t xml:space="preserve">Investiční cyklus: </w:t>
      </w:r>
      <w:proofErr w:type="spellStart"/>
      <w:r>
        <w:t>pre</w:t>
      </w:r>
      <w:proofErr w:type="spellEnd"/>
      <w:r>
        <w:t>-série A, série A, případně série B</w:t>
      </w:r>
    </w:p>
    <w:p w14:paraId="667C0F51" w14:textId="77777777" w:rsidR="000A7798" w:rsidRDefault="000A7798" w:rsidP="000A7798">
      <w:pPr>
        <w:spacing w:after="0"/>
      </w:pPr>
      <w:r>
        <w:t>•</w:t>
      </w:r>
      <w:r>
        <w:tab/>
        <w:t xml:space="preserve">Předpokládaný počet společností v portfoliu: 16 až 20 </w:t>
      </w:r>
    </w:p>
    <w:p w14:paraId="4064841F" w14:textId="77777777" w:rsidR="000A7798" w:rsidRDefault="000A7798" w:rsidP="000A7798"/>
    <w:p w14:paraId="5F6B42D8" w14:textId="5D9727DA" w:rsidR="000A7798" w:rsidRDefault="000A7798" w:rsidP="004C1F09">
      <w:pPr>
        <w:spacing w:after="400"/>
      </w:pPr>
      <w:r>
        <w:t xml:space="preserve">Více informací o fondu Jet Venture 1 najdete na </w:t>
      </w:r>
      <w:hyperlink r:id="rId7" w:history="1">
        <w:r w:rsidRPr="000A737E">
          <w:rPr>
            <w:rStyle w:val="Hypertextovodkaz"/>
          </w:rPr>
          <w:t>www.jetventures.cz</w:t>
        </w:r>
      </w:hyperlink>
      <w:r>
        <w:t>.</w:t>
      </w:r>
    </w:p>
    <w:p w14:paraId="76B965F7" w14:textId="7EDC2B04" w:rsidR="00FC624A" w:rsidRPr="0034386A" w:rsidRDefault="00FC624A" w:rsidP="0034386A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t xml:space="preserve">O Jet </w:t>
      </w:r>
      <w:proofErr w:type="spellStart"/>
      <w:r w:rsidRPr="0034386A">
        <w:rPr>
          <w:i/>
          <w:iCs/>
          <w:color w:val="000000" w:themeColor="text1"/>
          <w:sz w:val="20"/>
          <w:szCs w:val="20"/>
        </w:rPr>
        <w:t>Investment</w:t>
      </w:r>
      <w:proofErr w:type="spellEnd"/>
      <w:r w:rsidR="00716ED7" w:rsidRPr="0034386A">
        <w:rPr>
          <w:i/>
          <w:iCs/>
          <w:color w:val="000000" w:themeColor="text1"/>
          <w:sz w:val="20"/>
          <w:szCs w:val="20"/>
        </w:rPr>
        <w:t xml:space="preserve"> a fondu Jet Venture 1</w:t>
      </w:r>
    </w:p>
    <w:p w14:paraId="5800C866" w14:textId="4C13A6E8" w:rsidR="00DE705A" w:rsidRPr="0034386A" w:rsidRDefault="003C299D" w:rsidP="0034386A">
      <w:pPr>
        <w:spacing w:after="160"/>
        <w:rPr>
          <w:rStyle w:val="Zdraznnjemn"/>
          <w:i w:val="0"/>
          <w:iCs w:val="0"/>
          <w:color w:val="000000" w:themeColor="text1"/>
        </w:rPr>
      </w:pPr>
      <w:hyperlink r:id="rId8" w:history="1">
        <w:r w:rsidR="00716ED7" w:rsidRPr="003C299D">
          <w:rPr>
            <w:rStyle w:val="Hypertextovodkaz"/>
          </w:rPr>
          <w:t>Jet Venture 1</w:t>
        </w:r>
      </w:hyperlink>
      <w:r w:rsidR="00716ED7" w:rsidRPr="0034386A">
        <w:rPr>
          <w:rStyle w:val="Zdraznnjemn"/>
          <w:i w:val="0"/>
          <w:iCs w:val="0"/>
          <w:color w:val="000000" w:themeColor="text1"/>
        </w:rPr>
        <w:t xml:space="preserve"> je venture kapitálový fond investující do inovativních technologických start-upů s vysokým potenciálem růstu. Fond patří do skupiny fondů obhospodařovaných investiční skupinou Jet </w:t>
      </w:r>
      <w:proofErr w:type="spellStart"/>
      <w:r w:rsidR="00716ED7" w:rsidRPr="0034386A">
        <w:rPr>
          <w:rStyle w:val="Zdraznnjemn"/>
          <w:i w:val="0"/>
          <w:iCs w:val="0"/>
          <w:color w:val="000000" w:themeColor="text1"/>
        </w:rPr>
        <w:t>Investment</w:t>
      </w:r>
      <w:proofErr w:type="spellEnd"/>
      <w:r w:rsidR="00716ED7" w:rsidRPr="0034386A">
        <w:rPr>
          <w:rStyle w:val="Zdraznnjemn"/>
          <w:i w:val="0"/>
          <w:iCs w:val="0"/>
          <w:color w:val="000000" w:themeColor="text1"/>
        </w:rPr>
        <w:t xml:space="preserve">, a.s., kde jsou pečlivě vybírány a důsledně řízeny týmem Jet </w:t>
      </w:r>
      <w:proofErr w:type="spellStart"/>
      <w:r w:rsidR="00716ED7" w:rsidRPr="0034386A">
        <w:rPr>
          <w:rStyle w:val="Zdraznnjemn"/>
          <w:i w:val="0"/>
          <w:iCs w:val="0"/>
          <w:color w:val="000000" w:themeColor="text1"/>
        </w:rPr>
        <w:t>Ventures</w:t>
      </w:r>
      <w:proofErr w:type="spellEnd"/>
      <w:r w:rsidR="00716ED7" w:rsidRPr="0034386A">
        <w:rPr>
          <w:rStyle w:val="Zdraznnjemn"/>
          <w:i w:val="0"/>
          <w:iCs w:val="0"/>
          <w:color w:val="000000" w:themeColor="text1"/>
        </w:rPr>
        <w:t xml:space="preserve"> pod vedením Kamila Levinského a Rogera </w:t>
      </w:r>
      <w:proofErr w:type="spellStart"/>
      <w:r w:rsidR="00716ED7" w:rsidRPr="0034386A">
        <w:rPr>
          <w:rStyle w:val="Zdraznnjemn"/>
          <w:i w:val="0"/>
          <w:iCs w:val="0"/>
          <w:color w:val="000000" w:themeColor="text1"/>
        </w:rPr>
        <w:t>Dorsche</w:t>
      </w:r>
      <w:proofErr w:type="spellEnd"/>
      <w:r w:rsidR="00716ED7" w:rsidRPr="0034386A">
        <w:rPr>
          <w:rStyle w:val="Zdraznnjemn"/>
          <w:i w:val="0"/>
          <w:iCs w:val="0"/>
          <w:color w:val="000000" w:themeColor="text1"/>
        </w:rPr>
        <w:t>.</w:t>
      </w:r>
    </w:p>
    <w:p w14:paraId="632FD95F" w14:textId="4FC7A5F6" w:rsidR="00716ED7" w:rsidRPr="0034386A" w:rsidRDefault="00716ED7" w:rsidP="0034386A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t xml:space="preserve">O International </w:t>
      </w:r>
      <w:proofErr w:type="spellStart"/>
      <w:r w:rsidRPr="0034386A">
        <w:rPr>
          <w:i/>
          <w:iCs/>
          <w:color w:val="000000" w:themeColor="text1"/>
          <w:sz w:val="20"/>
          <w:szCs w:val="20"/>
        </w:rPr>
        <w:t>Automotive</w:t>
      </w:r>
      <w:proofErr w:type="spellEnd"/>
      <w:r w:rsidRPr="0034386A">
        <w:rPr>
          <w:i/>
          <w:iCs/>
          <w:color w:val="000000" w:themeColor="text1"/>
          <w:sz w:val="20"/>
          <w:szCs w:val="20"/>
        </w:rPr>
        <w:t xml:space="preserve"> Group</w:t>
      </w:r>
    </w:p>
    <w:p w14:paraId="3DB2FB89" w14:textId="3F2E9A69" w:rsidR="00716ED7" w:rsidRPr="0034386A" w:rsidRDefault="003C299D" w:rsidP="0034386A">
      <w:pPr>
        <w:spacing w:after="160"/>
        <w:rPr>
          <w:rStyle w:val="Zdraznnjemn"/>
          <w:i w:val="0"/>
          <w:iCs w:val="0"/>
          <w:color w:val="000000" w:themeColor="text1"/>
        </w:rPr>
      </w:pPr>
      <w:hyperlink r:id="rId9" w:history="1">
        <w:r w:rsidR="00716ED7" w:rsidRPr="003C299D">
          <w:rPr>
            <w:rStyle w:val="Hypertextovodkaz"/>
          </w:rPr>
          <w:t xml:space="preserve">International </w:t>
        </w:r>
        <w:proofErr w:type="spellStart"/>
        <w:r w:rsidR="00716ED7" w:rsidRPr="003C299D">
          <w:rPr>
            <w:rStyle w:val="Hypertextovodkaz"/>
          </w:rPr>
          <w:t>Automotive</w:t>
        </w:r>
        <w:proofErr w:type="spellEnd"/>
        <w:r w:rsidR="00716ED7" w:rsidRPr="003C299D">
          <w:rPr>
            <w:rStyle w:val="Hypertextovodkaz"/>
          </w:rPr>
          <w:t xml:space="preserve"> Group</w:t>
        </w:r>
      </w:hyperlink>
      <w:r w:rsidR="00716ED7" w:rsidRPr="0034386A">
        <w:rPr>
          <w:rStyle w:val="Zdraznnjemn"/>
          <w:i w:val="0"/>
          <w:iCs w:val="0"/>
          <w:color w:val="000000" w:themeColor="text1"/>
        </w:rPr>
        <w:t>, s.r.o., (IAG) je B2B e-</w:t>
      </w:r>
      <w:proofErr w:type="spellStart"/>
      <w:r w:rsidR="00716ED7" w:rsidRPr="0034386A">
        <w:rPr>
          <w:rStyle w:val="Zdraznnjemn"/>
          <w:i w:val="0"/>
          <w:iCs w:val="0"/>
          <w:color w:val="000000" w:themeColor="text1"/>
        </w:rPr>
        <w:t>commerce</w:t>
      </w:r>
      <w:proofErr w:type="spellEnd"/>
      <w:r w:rsidR="00716ED7" w:rsidRPr="0034386A">
        <w:rPr>
          <w:rStyle w:val="Zdraznnjemn"/>
          <w:i w:val="0"/>
          <w:iCs w:val="0"/>
          <w:color w:val="000000" w:themeColor="text1"/>
        </w:rPr>
        <w:t xml:space="preserve"> platforma a distribuční agent pro náhradní díly v automobilovém </w:t>
      </w:r>
      <w:proofErr w:type="spellStart"/>
      <w:r w:rsidR="00716ED7" w:rsidRPr="0034386A">
        <w:rPr>
          <w:rStyle w:val="Zdraznnjemn"/>
          <w:i w:val="0"/>
          <w:iCs w:val="0"/>
          <w:color w:val="000000" w:themeColor="text1"/>
        </w:rPr>
        <w:t>aftermarketu</w:t>
      </w:r>
      <w:proofErr w:type="spellEnd"/>
      <w:r w:rsidR="00716ED7" w:rsidRPr="0034386A">
        <w:rPr>
          <w:rStyle w:val="Zdraznnjemn"/>
          <w:i w:val="0"/>
          <w:iCs w:val="0"/>
          <w:color w:val="000000" w:themeColor="text1"/>
        </w:rPr>
        <w:t>. Nabízí e-katalog pro B2B klienty (autoservisy) a sadu nástrojů (ERP, CRM, BI) usnadňující franšízovým partnerům poskytování logistických a fakturačních služeb a rozvoj obchodních aktivit.</w:t>
      </w:r>
    </w:p>
    <w:p w14:paraId="16689170" w14:textId="2AF1FFB3" w:rsidR="00716ED7" w:rsidRPr="0034386A" w:rsidRDefault="00716ED7" w:rsidP="0034386A">
      <w:pPr>
        <w:pStyle w:val="Nadpis1"/>
        <w:spacing w:after="160"/>
        <w:rPr>
          <w:i/>
          <w:iCs/>
          <w:color w:val="000000" w:themeColor="text1"/>
          <w:sz w:val="20"/>
          <w:szCs w:val="20"/>
        </w:rPr>
      </w:pPr>
      <w:r w:rsidRPr="0034386A">
        <w:rPr>
          <w:i/>
          <w:iCs/>
          <w:color w:val="000000" w:themeColor="text1"/>
          <w:sz w:val="20"/>
          <w:szCs w:val="20"/>
        </w:rPr>
        <w:t xml:space="preserve">O </w:t>
      </w:r>
      <w:r w:rsidR="000A7798" w:rsidRPr="0034386A">
        <w:rPr>
          <w:i/>
          <w:iCs/>
          <w:color w:val="000000" w:themeColor="text1"/>
          <w:sz w:val="20"/>
          <w:szCs w:val="20"/>
        </w:rPr>
        <w:t xml:space="preserve">Venture to </w:t>
      </w:r>
      <w:proofErr w:type="spellStart"/>
      <w:r w:rsidR="000A7798" w:rsidRPr="0034386A">
        <w:rPr>
          <w:i/>
          <w:iCs/>
          <w:color w:val="000000" w:themeColor="text1"/>
          <w:sz w:val="20"/>
          <w:szCs w:val="20"/>
        </w:rPr>
        <w:t>Future</w:t>
      </w:r>
      <w:proofErr w:type="spellEnd"/>
      <w:r w:rsidR="000A7798" w:rsidRPr="0034386A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A7798" w:rsidRPr="0034386A">
        <w:rPr>
          <w:i/>
          <w:iCs/>
          <w:color w:val="000000" w:themeColor="text1"/>
          <w:sz w:val="20"/>
          <w:szCs w:val="20"/>
        </w:rPr>
        <w:t>Fund</w:t>
      </w:r>
      <w:proofErr w:type="spellEnd"/>
    </w:p>
    <w:p w14:paraId="07F48B22" w14:textId="3F5BD01B" w:rsidR="00EC3786" w:rsidRPr="0034386A" w:rsidRDefault="003C299D" w:rsidP="004C1F09">
      <w:pPr>
        <w:spacing w:after="400"/>
        <w:rPr>
          <w:rStyle w:val="Zdraznnjemn"/>
          <w:i w:val="0"/>
          <w:iCs w:val="0"/>
          <w:color w:val="000000" w:themeColor="text1"/>
        </w:rPr>
      </w:pPr>
      <w:hyperlink r:id="rId10" w:history="1">
        <w:r w:rsidR="000A7798" w:rsidRPr="003C299D">
          <w:rPr>
            <w:rStyle w:val="Hypertextovodkaz"/>
          </w:rPr>
          <w:t xml:space="preserve">Venture to </w:t>
        </w:r>
        <w:proofErr w:type="spellStart"/>
        <w:r w:rsidR="000A7798" w:rsidRPr="003C299D">
          <w:rPr>
            <w:rStyle w:val="Hypertextovodkaz"/>
          </w:rPr>
          <w:t>Future</w:t>
        </w:r>
        <w:proofErr w:type="spellEnd"/>
        <w:r w:rsidR="000A7798" w:rsidRPr="003C299D">
          <w:rPr>
            <w:rStyle w:val="Hypertextovodkaz"/>
          </w:rPr>
          <w:t xml:space="preserve"> </w:t>
        </w:r>
        <w:proofErr w:type="spellStart"/>
        <w:r w:rsidR="000A7798" w:rsidRPr="003C299D">
          <w:rPr>
            <w:rStyle w:val="Hypertextovodkaz"/>
          </w:rPr>
          <w:t>Fund</w:t>
        </w:r>
        <w:proofErr w:type="spellEnd"/>
      </w:hyperlink>
      <w:r w:rsidR="000A7798" w:rsidRPr="0034386A">
        <w:rPr>
          <w:rStyle w:val="Zdraznnjemn"/>
          <w:i w:val="0"/>
          <w:iCs w:val="0"/>
          <w:color w:val="000000" w:themeColor="text1"/>
        </w:rPr>
        <w:t xml:space="preserve"> podporuje slovenské a evropské technologické společnosti, které mají potenciál uspět na globálním trhu. Kapitál fondu slouží primárně k financování růstu a expanze těchto společností, ať už prostřednictvím vstupu na nové trhy, zdokonalení produktu, proniknutí do nových tržních segmentů nebo rozšíření tržního podílu. Fond s počátečním kapitálem 40,4 milionů eur byl založen v roce 2019 jako výsledek společné iniciativy Evropské investiční banky a Ministerstva financí SR prostřednictvím </w:t>
      </w:r>
      <w:proofErr w:type="spellStart"/>
      <w:r w:rsidR="000A7798" w:rsidRPr="0034386A">
        <w:rPr>
          <w:rStyle w:val="Zdraznnjemn"/>
          <w:i w:val="0"/>
          <w:iCs w:val="0"/>
          <w:color w:val="000000" w:themeColor="text1"/>
        </w:rPr>
        <w:t>Slovak</w:t>
      </w:r>
      <w:proofErr w:type="spellEnd"/>
      <w:r w:rsidR="000A7798" w:rsidRPr="0034386A">
        <w:rPr>
          <w:rStyle w:val="Zdraznnjemn"/>
          <w:i w:val="0"/>
          <w:iCs w:val="0"/>
          <w:color w:val="000000" w:themeColor="text1"/>
        </w:rPr>
        <w:t xml:space="preserve"> </w:t>
      </w:r>
      <w:proofErr w:type="spellStart"/>
      <w:r w:rsidR="000A7798" w:rsidRPr="0034386A">
        <w:rPr>
          <w:rStyle w:val="Zdraznnjemn"/>
          <w:i w:val="0"/>
          <w:iCs w:val="0"/>
          <w:color w:val="000000" w:themeColor="text1"/>
        </w:rPr>
        <w:t>Investment</w:t>
      </w:r>
      <w:proofErr w:type="spellEnd"/>
      <w:r w:rsidR="000A7798" w:rsidRPr="0034386A">
        <w:rPr>
          <w:rStyle w:val="Zdraznnjemn"/>
          <w:i w:val="0"/>
          <w:iCs w:val="0"/>
          <w:color w:val="000000" w:themeColor="text1"/>
        </w:rPr>
        <w:t xml:space="preserve"> Holding. V roce 2024 byl kapitálově navýšen o 15,3 milionů eur z prostředků Komponentu 9 Plánu obnovy a odolnosti, které administruje Výzkumná a inovační autorita (VAIA).</w:t>
      </w:r>
    </w:p>
    <w:p w14:paraId="47B9CEC1" w14:textId="77777777" w:rsidR="000A7798" w:rsidRPr="000A7798" w:rsidRDefault="000A7798" w:rsidP="000A7798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*Toto je propagační sdělení. Než provedete jakékoli konečné investiční rozhodnutí, přečtěte si, prosím, statut fondu a sdělení klíčových informací pro investory.</w:t>
      </w:r>
    </w:p>
    <w:p w14:paraId="3E3DA2D9" w14:textId="77777777" w:rsidR="000A7798" w:rsidRPr="000A7798" w:rsidRDefault="000A7798" w:rsidP="000A7798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Prezentované scénáře představují odhad budoucí výkonnosti založený na údajích z minulosti týkajících se toho, jak se mění hodnota této investice, a/nebo na aktuálních tržních podmínkách a nepředstavují přesný ukazatel. Váš zisk se bude lišit v závislosti na tom, jaká bude situace na trhu a jak dlouho budete investici/produkt držet.</w:t>
      </w:r>
    </w:p>
    <w:p w14:paraId="6F92FD9E" w14:textId="5D9D256A" w:rsidR="000A7798" w:rsidRPr="000A7798" w:rsidRDefault="000A7798" w:rsidP="000A7798">
      <w:pPr>
        <w:rPr>
          <w:i/>
          <w:iCs/>
          <w:sz w:val="16"/>
          <w:szCs w:val="16"/>
        </w:rPr>
      </w:pPr>
      <w:r w:rsidRPr="000A7798">
        <w:rPr>
          <w:i/>
          <w:iCs/>
          <w:sz w:val="16"/>
          <w:szCs w:val="16"/>
        </w:rPr>
        <w:t>Podílníkem, obmyšleným, zakladatelem, společníkem nebo tichým společníkem tohoto fondu se může stát pouze kvalifikovaný investor.</w:t>
      </w:r>
    </w:p>
    <w:sectPr w:rsidR="000A7798" w:rsidRPr="000A7798" w:rsidSect="00A7330D">
      <w:headerReference w:type="default" r:id="rId11"/>
      <w:footerReference w:type="default" r:id="rId12"/>
      <w:pgSz w:w="11906" w:h="16838"/>
      <w:pgMar w:top="2268" w:right="1021" w:bottom="1843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E5DD" w14:textId="77777777" w:rsidR="00010C74" w:rsidRDefault="00010C74" w:rsidP="000809E0">
      <w:pPr>
        <w:spacing w:after="0" w:line="240" w:lineRule="auto"/>
      </w:pPr>
      <w:r>
        <w:separator/>
      </w:r>
    </w:p>
  </w:endnote>
  <w:endnote w:type="continuationSeparator" w:id="0">
    <w:p w14:paraId="64851FBA" w14:textId="77777777" w:rsidR="00010C74" w:rsidRDefault="00010C74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6930" w14:textId="77777777" w:rsidR="00716ED7" w:rsidRDefault="00716ED7" w:rsidP="00A7330D">
    <w:pPr>
      <w:pStyle w:val="Zpat"/>
    </w:pPr>
  </w:p>
  <w:p w14:paraId="57AD0E79" w14:textId="2DEE9BB6" w:rsidR="00A7330D" w:rsidRDefault="00716ED7" w:rsidP="00A7330D">
    <w:pPr>
      <w:pStyle w:val="Zpat"/>
    </w:pPr>
    <w:r>
      <w:t>Veronika Hášová</w:t>
    </w:r>
  </w:p>
  <w:p w14:paraId="2511298D" w14:textId="79726272" w:rsidR="00A7330D" w:rsidRDefault="00716ED7" w:rsidP="00A7330D">
    <w:pPr>
      <w:pStyle w:val="Zpat"/>
    </w:pPr>
    <w:proofErr w:type="spellStart"/>
    <w:r>
      <w:t>Crest</w:t>
    </w:r>
    <w:proofErr w:type="spellEnd"/>
    <w:r>
      <w:t xml:space="preserve"> Communications</w:t>
    </w:r>
  </w:p>
  <w:p w14:paraId="1E73C7CA" w14:textId="23AAC9B1" w:rsidR="00A7330D" w:rsidRDefault="00A7330D" w:rsidP="00A7330D">
    <w:pPr>
      <w:pStyle w:val="Zpat"/>
    </w:pPr>
    <w:r>
      <w:t>+420</w:t>
    </w:r>
    <w:r w:rsidR="00716ED7">
      <w:t xml:space="preserve"> </w:t>
    </w:r>
    <w:r w:rsidR="00716ED7" w:rsidRPr="00716ED7">
      <w:t>737 230 060</w:t>
    </w:r>
  </w:p>
  <w:p w14:paraId="5AC44162" w14:textId="0DA92B4B" w:rsidR="00397D50" w:rsidRPr="00A7330D" w:rsidRDefault="00716ED7" w:rsidP="00A7330D">
    <w:pPr>
      <w:pStyle w:val="Zpat"/>
    </w:pPr>
    <w:r>
      <w:t>veronika.hasova</w:t>
    </w:r>
    <w:r w:rsidR="00A7330D">
      <w:t>@</w:t>
    </w:r>
    <w:r>
      <w:t>crestcom</w:t>
    </w:r>
    <w:r w:rsidR="00A7330D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762E" w14:textId="77777777" w:rsidR="00010C74" w:rsidRDefault="00010C74" w:rsidP="000809E0">
      <w:pPr>
        <w:spacing w:after="0" w:line="240" w:lineRule="auto"/>
      </w:pPr>
      <w:r>
        <w:separator/>
      </w:r>
    </w:p>
  </w:footnote>
  <w:footnote w:type="continuationSeparator" w:id="0">
    <w:p w14:paraId="59F177C9" w14:textId="77777777" w:rsidR="00010C74" w:rsidRDefault="00010C74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318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9"/>
      <w:gridCol w:w="5159"/>
    </w:tblGrid>
    <w:tr w:rsidR="00571D93" w14:paraId="2A2C772F" w14:textId="77777777" w:rsidTr="00571D93">
      <w:trPr>
        <w:trHeight w:hRule="exact" w:val="1021"/>
      </w:trPr>
      <w:tc>
        <w:tcPr>
          <w:tcW w:w="5159" w:type="dxa"/>
          <w:vAlign w:val="bottom"/>
        </w:tcPr>
        <w:p w14:paraId="1FBECE3C" w14:textId="77777777" w:rsidR="00571D93" w:rsidRDefault="00571D93" w:rsidP="00571D93">
          <w:pPr>
            <w:pStyle w:val="Zhlav"/>
          </w:pPr>
          <w:r>
            <w:rPr>
              <w:noProof/>
            </w:rPr>
            <w:drawing>
              <wp:inline distT="0" distB="0" distL="0" distR="0" wp14:anchorId="42841835" wp14:editId="60A17621">
                <wp:extent cx="1695600" cy="650192"/>
                <wp:effectExtent l="0" t="0" r="0" b="0"/>
                <wp:docPr id="2140338371" name="Logo Jet Investment - Jet Blue 47-82-160 2F52A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685296" name="Logo Jet Investment - Jet Blue 47-82-160 2F52A0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600" cy="650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vAlign w:val="bottom"/>
        </w:tcPr>
        <w:p w14:paraId="75FA9B80" w14:textId="77777777" w:rsidR="00571D93" w:rsidRDefault="00571D93" w:rsidP="00571D93">
          <w:pPr>
            <w:pStyle w:val="Zhlav"/>
            <w:jc w:val="right"/>
          </w:pPr>
        </w:p>
      </w:tc>
    </w:tr>
  </w:tbl>
  <w:p w14:paraId="06E51F51" w14:textId="77777777" w:rsidR="00571D93" w:rsidRDefault="00571D9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DB7C4" wp14:editId="33BFA3A2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3771750" name="Logo zleva 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C38BD8" id="Logo zleva 1 cm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liHVhdkAAAAH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557FD" wp14:editId="343D7275">
              <wp:simplePos x="0" y="0"/>
              <wp:positionH relativeFrom="page">
                <wp:posOffset>6912610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795786397" name="P okraj 1,8 cm x 19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1B971" id="P okraj 1,8 cm x 19,2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3pt,0" to="544.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MYuk1TaAAAACw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3454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CBB69" wp14:editId="648E7ADE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73777163" name="L okraj 2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76A2E" id="L okraj 2,1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DE37C2"/>
    <w:multiLevelType w:val="hybridMultilevel"/>
    <w:tmpl w:val="EF0414D8"/>
    <w:lvl w:ilvl="0" w:tplc="0EA067BE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52A0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10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7"/>
    <w:rsid w:val="00010C74"/>
    <w:rsid w:val="000809E0"/>
    <w:rsid w:val="000A6664"/>
    <w:rsid w:val="000A7798"/>
    <w:rsid w:val="00110B75"/>
    <w:rsid w:val="00147E4D"/>
    <w:rsid w:val="001A3976"/>
    <w:rsid w:val="001B4450"/>
    <w:rsid w:val="001E2B31"/>
    <w:rsid w:val="001F6F0D"/>
    <w:rsid w:val="00242BA9"/>
    <w:rsid w:val="00266C84"/>
    <w:rsid w:val="00321AAF"/>
    <w:rsid w:val="00330387"/>
    <w:rsid w:val="0034386A"/>
    <w:rsid w:val="003454CC"/>
    <w:rsid w:val="00397D50"/>
    <w:rsid w:val="00397F0F"/>
    <w:rsid w:val="003B2644"/>
    <w:rsid w:val="003C299D"/>
    <w:rsid w:val="00425F46"/>
    <w:rsid w:val="004539AA"/>
    <w:rsid w:val="00460F73"/>
    <w:rsid w:val="00470F66"/>
    <w:rsid w:val="00482795"/>
    <w:rsid w:val="004A311E"/>
    <w:rsid w:val="004C1F09"/>
    <w:rsid w:val="004E7122"/>
    <w:rsid w:val="00532187"/>
    <w:rsid w:val="00557CDC"/>
    <w:rsid w:val="00571D93"/>
    <w:rsid w:val="00596DB8"/>
    <w:rsid w:val="00597746"/>
    <w:rsid w:val="005E29CC"/>
    <w:rsid w:val="005F6C6E"/>
    <w:rsid w:val="00632B3B"/>
    <w:rsid w:val="00653874"/>
    <w:rsid w:val="0068202A"/>
    <w:rsid w:val="006A1241"/>
    <w:rsid w:val="006F5649"/>
    <w:rsid w:val="00716ED7"/>
    <w:rsid w:val="00740BA4"/>
    <w:rsid w:val="00784CFD"/>
    <w:rsid w:val="007A0A5B"/>
    <w:rsid w:val="007A7219"/>
    <w:rsid w:val="007C3D61"/>
    <w:rsid w:val="007C4A9C"/>
    <w:rsid w:val="007D3C6B"/>
    <w:rsid w:val="00804D95"/>
    <w:rsid w:val="008149DA"/>
    <w:rsid w:val="0089556A"/>
    <w:rsid w:val="008D6DC2"/>
    <w:rsid w:val="008F0E4E"/>
    <w:rsid w:val="0091242A"/>
    <w:rsid w:val="009515A9"/>
    <w:rsid w:val="0098036D"/>
    <w:rsid w:val="00986B23"/>
    <w:rsid w:val="00A45067"/>
    <w:rsid w:val="00A7330D"/>
    <w:rsid w:val="00AA64C3"/>
    <w:rsid w:val="00AB0D96"/>
    <w:rsid w:val="00AC61E2"/>
    <w:rsid w:val="00AF4ABA"/>
    <w:rsid w:val="00B23C27"/>
    <w:rsid w:val="00B36A81"/>
    <w:rsid w:val="00B670CF"/>
    <w:rsid w:val="00BE0F9E"/>
    <w:rsid w:val="00C50DD6"/>
    <w:rsid w:val="00C519FC"/>
    <w:rsid w:val="00C75F2F"/>
    <w:rsid w:val="00C76019"/>
    <w:rsid w:val="00C904F3"/>
    <w:rsid w:val="00CB13DE"/>
    <w:rsid w:val="00CB26F8"/>
    <w:rsid w:val="00CB53EE"/>
    <w:rsid w:val="00D22413"/>
    <w:rsid w:val="00D34D01"/>
    <w:rsid w:val="00DB7848"/>
    <w:rsid w:val="00DE344C"/>
    <w:rsid w:val="00DE705A"/>
    <w:rsid w:val="00E23C86"/>
    <w:rsid w:val="00E34DE4"/>
    <w:rsid w:val="00EB22CB"/>
    <w:rsid w:val="00EC3786"/>
    <w:rsid w:val="00F65B6A"/>
    <w:rsid w:val="00F83776"/>
    <w:rsid w:val="00FA0F9B"/>
    <w:rsid w:val="00FA192A"/>
    <w:rsid w:val="00FA5B81"/>
    <w:rsid w:val="00FC22AC"/>
    <w:rsid w:val="00FC624A"/>
    <w:rsid w:val="00FD4A68"/>
    <w:rsid w:val="00FE467B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2B7D"/>
  <w15:chartTrackingRefBased/>
  <w15:docId w15:val="{575470AC-0EA1-4961-9048-28A4BC8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1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B6A"/>
    <w:pPr>
      <w:spacing w:after="24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F4A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50DD6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50DD6"/>
    <w:pPr>
      <w:keepNext/>
      <w:keepLines/>
      <w:spacing w:before="36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2187"/>
    <w:pPr>
      <w:spacing w:after="0" w:line="24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F4ABA"/>
    <w:rPr>
      <w:rFonts w:asciiTheme="majorHAnsi" w:eastAsiaTheme="majorEastAsia" w:hAnsiTheme="majorHAnsi" w:cstheme="majorBidi"/>
      <w:b/>
      <w:color w:val="2F52A0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0DD6"/>
    <w:rPr>
      <w:rFonts w:asciiTheme="majorHAnsi" w:eastAsiaTheme="majorEastAsia" w:hAnsiTheme="majorHAnsi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DE705A"/>
    <w:pPr>
      <w:spacing w:line="240" w:lineRule="auto"/>
      <w:contextualSpacing/>
    </w:pPr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DE705A"/>
    <w:rPr>
      <w:rFonts w:asciiTheme="majorHAnsi" w:eastAsiaTheme="majorEastAsia" w:hAnsiTheme="majorHAnsi" w:cstheme="majorBidi"/>
      <w:color w:val="2F52A0" w:themeColor="accent1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DE705A"/>
    <w:pPr>
      <w:numPr>
        <w:ilvl w:val="1"/>
      </w:numPr>
      <w:spacing w:before="240"/>
    </w:pPr>
    <w:rPr>
      <w:rFonts w:eastAsiaTheme="minorEastAsia"/>
      <w:color w:val="2F52A0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DE705A"/>
    <w:rPr>
      <w:rFonts w:eastAsiaTheme="minorEastAsia"/>
      <w:color w:val="2F52A0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C50DD6"/>
    <w:rPr>
      <w:rFonts w:asciiTheme="majorHAnsi" w:eastAsiaTheme="majorEastAsia" w:hAnsiTheme="majorHAnsi" w:cstheme="majorBidi"/>
      <w:b/>
      <w:sz w:val="20"/>
      <w:szCs w:val="24"/>
    </w:rPr>
  </w:style>
  <w:style w:type="paragraph" w:styleId="Zhlav">
    <w:name w:val="header"/>
    <w:basedOn w:val="Normln"/>
    <w:link w:val="ZhlavChar"/>
    <w:uiPriority w:val="34"/>
    <w:unhideWhenUsed/>
    <w:rsid w:val="00A7330D"/>
    <w:pPr>
      <w:spacing w:after="0" w:line="240" w:lineRule="auto"/>
    </w:pPr>
    <w:rPr>
      <w:b/>
      <w:color w:val="2F52A0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A7330D"/>
    <w:rPr>
      <w:b/>
      <w:color w:val="2F52A0" w:themeColor="accent1"/>
      <w:sz w:val="16"/>
    </w:rPr>
  </w:style>
  <w:style w:type="paragraph" w:styleId="Zpat">
    <w:name w:val="footer"/>
    <w:basedOn w:val="Normln"/>
    <w:link w:val="ZpatChar"/>
    <w:uiPriority w:val="34"/>
    <w:unhideWhenUsed/>
    <w:rsid w:val="00A7330D"/>
    <w:pPr>
      <w:spacing w:after="0" w:line="240" w:lineRule="auto"/>
      <w:ind w:left="-624"/>
    </w:pPr>
    <w:rPr>
      <w:b/>
      <w:color w:val="2F52A0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A7330D"/>
    <w:rPr>
      <w:b/>
      <w:color w:val="2F52A0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unhideWhenUsed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unhideWhenUsed/>
    <w:rsid w:val="00330387"/>
    <w:pPr>
      <w:spacing w:before="240"/>
      <w:jc w:val="right"/>
    </w:pPr>
  </w:style>
  <w:style w:type="character" w:customStyle="1" w:styleId="DatumChar">
    <w:name w:val="Datum Char"/>
    <w:basedOn w:val="Standardnpsmoodstavce"/>
    <w:link w:val="Datum"/>
    <w:uiPriority w:val="35"/>
    <w:rsid w:val="007A7219"/>
    <w:rPr>
      <w:sz w:val="20"/>
    </w:rPr>
  </w:style>
  <w:style w:type="paragraph" w:styleId="Seznamsodrkami">
    <w:name w:val="List Bullet"/>
    <w:basedOn w:val="Normln"/>
    <w:uiPriority w:val="10"/>
    <w:qFormat/>
    <w:rsid w:val="00F65B6A"/>
    <w:pPr>
      <w:numPr>
        <w:numId w:val="11"/>
      </w:numPr>
      <w:contextualSpacing/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2F52A0" w:themeColor="accent1"/>
    </w:rPr>
  </w:style>
  <w:style w:type="paragraph" w:styleId="Podpis">
    <w:name w:val="Signature"/>
    <w:basedOn w:val="Normln"/>
    <w:link w:val="PodpisChar"/>
    <w:uiPriority w:val="37"/>
    <w:rsid w:val="007A7219"/>
    <w:pPr>
      <w:spacing w:before="960" w:after="0" w:line="240" w:lineRule="auto"/>
      <w:contextualSpacing/>
    </w:pPr>
  </w:style>
  <w:style w:type="character" w:customStyle="1" w:styleId="PodpisChar">
    <w:name w:val="Podpis Char"/>
    <w:basedOn w:val="Standardnpsmoodstavce"/>
    <w:link w:val="Podpis"/>
    <w:uiPriority w:val="37"/>
    <w:rsid w:val="007A7219"/>
    <w:rPr>
      <w:sz w:val="20"/>
    </w:rPr>
  </w:style>
  <w:style w:type="paragraph" w:styleId="Zvr">
    <w:name w:val="Closing"/>
    <w:basedOn w:val="Normln"/>
    <w:next w:val="Podpis"/>
    <w:link w:val="ZvrChar"/>
    <w:uiPriority w:val="36"/>
    <w:rsid w:val="00330387"/>
    <w:pPr>
      <w:spacing w:before="240" w:after="960" w:line="240" w:lineRule="auto"/>
      <w:contextualSpacing/>
    </w:pPr>
  </w:style>
  <w:style w:type="character" w:customStyle="1" w:styleId="ZvrChar">
    <w:name w:val="Závěr Char"/>
    <w:basedOn w:val="Standardnpsmoodstavce"/>
    <w:link w:val="Zvr"/>
    <w:uiPriority w:val="36"/>
    <w:rsid w:val="007A7219"/>
    <w:rPr>
      <w:sz w:val="20"/>
    </w:rPr>
  </w:style>
  <w:style w:type="table" w:styleId="Mkatabulky">
    <w:name w:val="Table Grid"/>
    <w:basedOn w:val="Normlntabulka"/>
    <w:uiPriority w:val="39"/>
    <w:rsid w:val="005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7D50"/>
    <w:rPr>
      <w:color w:val="2F52A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D50"/>
    <w:rPr>
      <w:color w:val="605E5C"/>
      <w:shd w:val="clear" w:color="auto" w:fill="E1DFDD"/>
    </w:rPr>
  </w:style>
  <w:style w:type="paragraph" w:customStyle="1" w:styleId="Perex">
    <w:name w:val="Perex"/>
    <w:basedOn w:val="Normln"/>
    <w:next w:val="Normln"/>
    <w:link w:val="PerexChar"/>
    <w:uiPriority w:val="2"/>
    <w:qFormat/>
    <w:rsid w:val="00DE705A"/>
    <w:rPr>
      <w:i/>
      <w:color w:val="87908C" w:themeColor="text2"/>
      <w:spacing w:val="10"/>
      <w:sz w:val="22"/>
    </w:rPr>
  </w:style>
  <w:style w:type="character" w:customStyle="1" w:styleId="PerexChar">
    <w:name w:val="Perex Char"/>
    <w:basedOn w:val="Standardnpsmoodstavce"/>
    <w:link w:val="Perex"/>
    <w:uiPriority w:val="2"/>
    <w:rsid w:val="00F65B6A"/>
    <w:rPr>
      <w:i/>
      <w:color w:val="87908C" w:themeColor="text2"/>
      <w:spacing w:val="10"/>
    </w:rPr>
  </w:style>
  <w:style w:type="character" w:styleId="Zdraznnjemn">
    <w:name w:val="Subtle Emphasis"/>
    <w:basedOn w:val="Standardnpsmoodstavce"/>
    <w:uiPriority w:val="25"/>
    <w:qFormat/>
    <w:rsid w:val="00AF4ABA"/>
    <w:rPr>
      <w:i/>
      <w:iCs/>
      <w:color w:val="87908C" w:themeColor="text2"/>
    </w:rPr>
  </w:style>
  <w:style w:type="character" w:styleId="Zdraznn">
    <w:name w:val="Emphasis"/>
    <w:basedOn w:val="Standardnpsmoodstavce"/>
    <w:uiPriority w:val="23"/>
    <w:qFormat/>
    <w:rsid w:val="00632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tinvestment.cz/fondy-jet/jet-ventur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tventure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ff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.iagpart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Svit&#225;kov&#225;\Downloads\drive-download-20250516T124728Z-1-001\Jet_Investment_Tiskova_zprava_1.dotx" TargetMode="External"/></Relationships>
</file>

<file path=word/theme/theme1.xml><?xml version="1.0" encoding="utf-8"?>
<a:theme xmlns:a="http://schemas.openxmlformats.org/drawingml/2006/main" name="Motiv Office">
  <a:themeElements>
    <a:clrScheme name="Jet Investment 2025">
      <a:dk1>
        <a:sysClr val="windowText" lastClr="000000"/>
      </a:dk1>
      <a:lt1>
        <a:sysClr val="window" lastClr="FFFFFF"/>
      </a:lt1>
      <a:dk2>
        <a:srgbClr val="87908C"/>
      </a:dk2>
      <a:lt2>
        <a:srgbClr val="EAEAEA"/>
      </a:lt2>
      <a:accent1>
        <a:srgbClr val="2F52A0"/>
      </a:accent1>
      <a:accent2>
        <a:srgbClr val="5C79BB"/>
      </a:accent2>
      <a:accent3>
        <a:srgbClr val="039B8A"/>
      </a:accent3>
      <a:accent4>
        <a:srgbClr val="BEA680"/>
      </a:accent4>
      <a:accent5>
        <a:srgbClr val="5B9BD5"/>
      </a:accent5>
      <a:accent6>
        <a:srgbClr val="70AD47"/>
      </a:accent6>
      <a:hlink>
        <a:srgbClr val="2F52A0"/>
      </a:hlink>
      <a:folHlink>
        <a:srgbClr val="2F52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Jet_Investment_Tiskova_zprava_1</Template>
  <TotalTime>31</TotalTime>
  <Pages>2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Svitáková</dc:creator>
  <cp:keywords/>
  <dc:description/>
  <cp:lastModifiedBy>Martina Svitáková</cp:lastModifiedBy>
  <cp:revision>10</cp:revision>
  <dcterms:created xsi:type="dcterms:W3CDTF">2025-05-19T07:26:00Z</dcterms:created>
  <dcterms:modified xsi:type="dcterms:W3CDTF">2025-05-21T14:18:00Z</dcterms:modified>
</cp:coreProperties>
</file>